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B0F3" w14:textId="59D7BC9C" w:rsidR="00770D6F" w:rsidRDefault="0019778D" w:rsidP="0019778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B0AF5" wp14:editId="7569FD31">
            <wp:simplePos x="0" y="0"/>
            <wp:positionH relativeFrom="column">
              <wp:posOffset>4880644</wp:posOffset>
            </wp:positionH>
            <wp:positionV relativeFrom="paragraph">
              <wp:posOffset>-481913</wp:posOffset>
            </wp:positionV>
            <wp:extent cx="1653075" cy="640080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0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4DCA2" w14:textId="77777777" w:rsidR="007314B0" w:rsidRDefault="007314B0" w:rsidP="00E338BF">
      <w:pPr>
        <w:pStyle w:val="Heading2"/>
        <w:jc w:val="center"/>
        <w:rPr>
          <w:b/>
          <w:bCs/>
          <w:sz w:val="48"/>
          <w:szCs w:val="48"/>
        </w:rPr>
      </w:pPr>
    </w:p>
    <w:p w14:paraId="2FC12592" w14:textId="0960EAD4" w:rsidR="00E338BF" w:rsidRPr="007314B0" w:rsidRDefault="00E338BF" w:rsidP="00E338BF">
      <w:pPr>
        <w:pStyle w:val="Heading2"/>
        <w:jc w:val="center"/>
        <w:rPr>
          <w:b/>
          <w:bCs/>
          <w:sz w:val="48"/>
          <w:szCs w:val="48"/>
        </w:rPr>
      </w:pPr>
      <w:r w:rsidRPr="007314B0">
        <w:rPr>
          <w:b/>
          <w:bCs/>
          <w:sz w:val="48"/>
          <w:szCs w:val="48"/>
        </w:rPr>
        <w:t>State Association Talking Points</w:t>
      </w:r>
    </w:p>
    <w:p w14:paraId="40016D88" w14:textId="7E3B3333" w:rsidR="00770D6F" w:rsidRPr="007314B0" w:rsidRDefault="00E338BF" w:rsidP="00E338BF">
      <w:pPr>
        <w:pStyle w:val="Heading2"/>
        <w:jc w:val="center"/>
        <w:rPr>
          <w:b/>
          <w:bCs/>
          <w:sz w:val="48"/>
          <w:szCs w:val="48"/>
        </w:rPr>
      </w:pPr>
      <w:r w:rsidRPr="007314B0">
        <w:rPr>
          <w:b/>
          <w:bCs/>
          <w:sz w:val="48"/>
          <w:szCs w:val="48"/>
        </w:rPr>
        <w:t>Features and Benefits of Big "I" Alliance Gold</w:t>
      </w:r>
    </w:p>
    <w:p w14:paraId="12CBB3B5" w14:textId="77777777" w:rsidR="0019778D" w:rsidRPr="007314B0" w:rsidRDefault="001977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720E0" w14:paraId="1224346F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CC11686" w14:textId="51467E2B" w:rsidR="008720E0" w:rsidRPr="007314B0" w:rsidRDefault="008720E0" w:rsidP="008720E0">
            <w:pPr>
              <w:jc w:val="center"/>
              <w:rPr>
                <w:b/>
                <w:bCs/>
              </w:rPr>
            </w:pPr>
            <w:r w:rsidRPr="007314B0">
              <w:rPr>
                <w:b/>
                <w:bCs/>
              </w:rPr>
              <w:t>Feature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2689DE5C" w14:textId="14F484B0" w:rsidR="008720E0" w:rsidRPr="007314B0" w:rsidRDefault="008720E0" w:rsidP="008720E0">
            <w:pPr>
              <w:jc w:val="center"/>
              <w:rPr>
                <w:b/>
                <w:bCs/>
              </w:rPr>
            </w:pPr>
            <w:r w:rsidRPr="007314B0">
              <w:rPr>
                <w:b/>
                <w:bCs/>
              </w:rPr>
              <w:t>Benefit</w:t>
            </w:r>
          </w:p>
        </w:tc>
      </w:tr>
      <w:tr w:rsidR="008720E0" w14:paraId="573D5C5F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6F553F49" w14:textId="7993DE17" w:rsidR="008720E0" w:rsidRDefault="008720E0" w:rsidP="008720E0">
            <w:r w:rsidRPr="00DE20B8">
              <w:t>Aggregated Premium</w:t>
            </w:r>
            <w:r>
              <w:t xml:space="preserve"> 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469BB25" w14:textId="2BCD8D39" w:rsidR="008720E0" w:rsidRDefault="008720E0" w:rsidP="008720E0">
            <w:r>
              <w:t xml:space="preserve">Combining premiums among </w:t>
            </w:r>
            <w:proofErr w:type="gramStart"/>
            <w:r>
              <w:t>Gold</w:t>
            </w:r>
            <w:proofErr w:type="gramEnd"/>
            <w:r>
              <w:t xml:space="preserve"> members </w:t>
            </w:r>
            <w:proofErr w:type="gramStart"/>
            <w:r>
              <w:t>builds</w:t>
            </w:r>
            <w:proofErr w:type="gramEnd"/>
            <w:r>
              <w:t xml:space="preserve"> a larger </w:t>
            </w:r>
            <w:r w:rsidR="00EB0563">
              <w:t xml:space="preserve">book </w:t>
            </w:r>
            <w:r>
              <w:t xml:space="preserve">under a single </w:t>
            </w:r>
            <w:r w:rsidR="00AB483C">
              <w:t xml:space="preserve">production code. This </w:t>
            </w:r>
            <w:r w:rsidR="00EB0563">
              <w:t>enhanced volume</w:t>
            </w:r>
            <w:r w:rsidR="00AB483C">
              <w:t xml:space="preserve"> gives us </w:t>
            </w:r>
            <w:r>
              <w:t>a stronger voice to carriers</w:t>
            </w:r>
            <w:r w:rsidR="00F74D67">
              <w:t>.</w:t>
            </w:r>
          </w:p>
        </w:tc>
      </w:tr>
      <w:tr w:rsidR="008720E0" w14:paraId="2FC1F6E8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680D91DC" w14:textId="07167233" w:rsidR="008720E0" w:rsidRDefault="008720E0" w:rsidP="008720E0">
            <w:r w:rsidRPr="00DE20B8">
              <w:t>Contingency eligibility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CE67D5C" w14:textId="6CD99BE8" w:rsidR="008720E0" w:rsidRDefault="008720E0" w:rsidP="008720E0">
            <w:r>
              <w:t xml:space="preserve">All Gold agents </w:t>
            </w:r>
            <w:r w:rsidR="00BF6971">
              <w:t xml:space="preserve">are eligible </w:t>
            </w:r>
            <w:proofErr w:type="gramStart"/>
            <w:r w:rsidR="00BF6971">
              <w:t>for profit</w:t>
            </w:r>
            <w:proofErr w:type="gramEnd"/>
            <w:r w:rsidR="00BF6971">
              <w:t xml:space="preserve"> sharing</w:t>
            </w:r>
            <w:r w:rsidR="3C62AFEC">
              <w:t xml:space="preserve"> when</w:t>
            </w:r>
          </w:p>
          <w:p w14:paraId="6BA18D98" w14:textId="54B31740" w:rsidR="008720E0" w:rsidRDefault="006B760C" w:rsidP="007064E4">
            <w:r>
              <w:t>t</w:t>
            </w:r>
            <w:r w:rsidR="3C62AFEC">
              <w:t xml:space="preserve">he carrier offers </w:t>
            </w:r>
            <w:proofErr w:type="gramStart"/>
            <w:r w:rsidR="3C62AFEC">
              <w:t>it</w:t>
            </w:r>
            <w:proofErr w:type="gramEnd"/>
            <w:r>
              <w:t xml:space="preserve"> and</w:t>
            </w:r>
            <w:r w:rsidR="007064E4">
              <w:t xml:space="preserve"> the a</w:t>
            </w:r>
            <w:r w:rsidR="3C62AFEC">
              <w:t>gency is appointed</w:t>
            </w:r>
            <w:r w:rsidR="007064E4">
              <w:t xml:space="preserve">.  </w:t>
            </w:r>
            <w:r w:rsidR="0036548B">
              <w:t xml:space="preserve">The aggregation of premium builds a larger eligibility </w:t>
            </w:r>
            <w:r w:rsidR="00F74D67">
              <w:t xml:space="preserve">base.  </w:t>
            </w:r>
          </w:p>
        </w:tc>
      </w:tr>
      <w:tr w:rsidR="008720E0" w14:paraId="1B73D3F6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F29F155" w14:textId="0327D125" w:rsidR="008720E0" w:rsidRDefault="008720E0" w:rsidP="008720E0">
            <w:r w:rsidRPr="00DE20B8">
              <w:t>Increased commission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71C158E" w14:textId="3B89104D" w:rsidR="008720E0" w:rsidRDefault="00E536CC" w:rsidP="008720E0">
            <w:r>
              <w:t>Because of our size, we earn high</w:t>
            </w:r>
            <w:r w:rsidR="52AAF987">
              <w:t xml:space="preserve">er </w:t>
            </w:r>
            <w:r>
              <w:t xml:space="preserve">tiered commission </w:t>
            </w:r>
            <w:r w:rsidR="00FE6FF6">
              <w:t>ranges</w:t>
            </w:r>
            <w:r w:rsidR="00F74D67">
              <w:t>.</w:t>
            </w:r>
          </w:p>
        </w:tc>
      </w:tr>
      <w:tr w:rsidR="008720E0" w14:paraId="2EED7F2E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5974302" w14:textId="298F17EA" w:rsidR="008720E0" w:rsidRDefault="008720E0" w:rsidP="008720E0">
            <w:r w:rsidRPr="00DE20B8">
              <w:t>Strong carrier partnerships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56F277DF" w14:textId="3B7D574B" w:rsidR="008720E0" w:rsidRDefault="00C10CA9" w:rsidP="008720E0">
            <w:r>
              <w:t>C</w:t>
            </w:r>
            <w:r w:rsidR="009D10A7">
              <w:t xml:space="preserve">arriers </w:t>
            </w:r>
            <w:r w:rsidR="00F55CB2">
              <w:t>have asked us what took us so long to form an alliance</w:t>
            </w:r>
            <w:r w:rsidR="00063DCE">
              <w:t>.</w:t>
            </w:r>
            <w:r w:rsidR="00F55CB2">
              <w:t xml:space="preserve">  </w:t>
            </w:r>
            <w:r w:rsidR="003438CC">
              <w:t xml:space="preserve">Many are ones we’ve worked with under Blue and appreciate our </w:t>
            </w:r>
            <w:r w:rsidR="002F481F">
              <w:t xml:space="preserve">vast reach and mission to support independent agents.  </w:t>
            </w:r>
          </w:p>
        </w:tc>
      </w:tr>
      <w:tr w:rsidR="008720E0" w14:paraId="096CE326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1B42D35B" w14:textId="028F2D96" w:rsidR="008720E0" w:rsidRDefault="008720E0" w:rsidP="008720E0">
            <w:r w:rsidRPr="00DE20B8">
              <w:t>Promotion of profitability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6DB30FAA" w14:textId="1AD9E328" w:rsidR="008720E0" w:rsidRDefault="007F4226" w:rsidP="008720E0">
            <w:r>
              <w:t>We’ll work with agent</w:t>
            </w:r>
            <w:r w:rsidR="003540D6">
              <w:t>s</w:t>
            </w:r>
            <w:r>
              <w:t xml:space="preserve"> to </w:t>
            </w:r>
            <w:r w:rsidR="006B7E2D">
              <w:t xml:space="preserve">help </w:t>
            </w:r>
            <w:r>
              <w:t xml:space="preserve">ensure </w:t>
            </w:r>
            <w:r w:rsidR="00AB1540">
              <w:t xml:space="preserve">production </w:t>
            </w:r>
            <w:r w:rsidR="00E75113">
              <w:t>objectives are being met and cl</w:t>
            </w:r>
            <w:r w:rsidR="00837B0B">
              <w:t>aim reserves</w:t>
            </w:r>
            <w:r w:rsidR="00E75113">
              <w:t xml:space="preserve"> are being monitored.  </w:t>
            </w:r>
          </w:p>
        </w:tc>
      </w:tr>
      <w:tr w:rsidR="008720E0" w14:paraId="452301D8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152DBFB" w14:textId="49D4816C" w:rsidR="008720E0" w:rsidRDefault="008720E0" w:rsidP="008720E0">
            <w:r w:rsidRPr="00DE20B8">
              <w:t>Broad communication and training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52CE0858" w14:textId="6FB65FEB" w:rsidR="008720E0" w:rsidRDefault="00E70ACE" w:rsidP="008720E0">
            <w:r>
              <w:t xml:space="preserve">Because </w:t>
            </w:r>
            <w:r w:rsidR="00F862B8">
              <w:t>of our close relationships with carriers</w:t>
            </w:r>
            <w:r w:rsidR="00BB3EB9">
              <w:t xml:space="preserve"> and vendors</w:t>
            </w:r>
            <w:r w:rsidR="00F862B8">
              <w:t xml:space="preserve">, we </w:t>
            </w:r>
            <w:r w:rsidR="00D17CBD">
              <w:t xml:space="preserve">receive </w:t>
            </w:r>
            <w:r w:rsidR="00AC340E">
              <w:t xml:space="preserve">advance </w:t>
            </w:r>
            <w:r w:rsidR="000E1E18">
              <w:t>notice</w:t>
            </w:r>
            <w:r w:rsidR="00AC340E">
              <w:t xml:space="preserve"> of changes</w:t>
            </w:r>
            <w:r w:rsidR="00A86C57">
              <w:t>, and we in t</w:t>
            </w:r>
            <w:r w:rsidR="00D1225A">
              <w:t>u</w:t>
            </w:r>
            <w:r w:rsidR="00A86C57">
              <w:t xml:space="preserve">rn </w:t>
            </w:r>
            <w:r w:rsidR="00300BA1">
              <w:t xml:space="preserve">promptly </w:t>
            </w:r>
            <w:r w:rsidR="00A86C57">
              <w:t xml:space="preserve">advise </w:t>
            </w:r>
            <w:proofErr w:type="gramStart"/>
            <w:r w:rsidR="00A86C57">
              <w:t>Gold</w:t>
            </w:r>
            <w:proofErr w:type="gramEnd"/>
            <w:r w:rsidR="00A86C57">
              <w:t xml:space="preserve"> members. We’ll also work with carriers to be sure </w:t>
            </w:r>
            <w:proofErr w:type="gramStart"/>
            <w:r w:rsidR="00A86C57">
              <w:t>Gold</w:t>
            </w:r>
            <w:proofErr w:type="gramEnd"/>
            <w:r w:rsidR="00A86C57">
              <w:t xml:space="preserve"> agents have sufficient product</w:t>
            </w:r>
            <w:r w:rsidR="00300BA1">
              <w:t xml:space="preserve"> and </w:t>
            </w:r>
            <w:r w:rsidR="00A86C57">
              <w:t xml:space="preserve">system training.  </w:t>
            </w:r>
          </w:p>
        </w:tc>
      </w:tr>
      <w:tr w:rsidR="008720E0" w14:paraId="402DB81C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6B0A8831" w14:textId="7875F356" w:rsidR="008720E0" w:rsidRDefault="008720E0" w:rsidP="008720E0">
            <w:r w:rsidRPr="00DE20B8">
              <w:t>Market access through membership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0E17C002" w14:textId="35EF0A0C" w:rsidR="008720E0" w:rsidRDefault="00253EA0" w:rsidP="008720E0">
            <w:r>
              <w:t>Between Big "I" Alliance Gold and Blue, y</w:t>
            </w:r>
            <w:r w:rsidR="00565D63">
              <w:t xml:space="preserve">ou have access to </w:t>
            </w:r>
            <w:r w:rsidR="004B1CA4">
              <w:t>over 40</w:t>
            </w:r>
            <w:r>
              <w:t xml:space="preserve"> </w:t>
            </w:r>
            <w:r w:rsidR="00A375BF">
              <w:t xml:space="preserve">standard and E&amp;S </w:t>
            </w:r>
            <w:r>
              <w:t>carriers</w:t>
            </w:r>
            <w:r w:rsidR="000544DB">
              <w:t xml:space="preserve">, </w:t>
            </w:r>
            <w:r w:rsidR="00A375BF">
              <w:t xml:space="preserve">enabling you to handle </w:t>
            </w:r>
            <w:proofErr w:type="gramStart"/>
            <w:r w:rsidR="003A0BD4">
              <w:t>the vast majority of</w:t>
            </w:r>
            <w:proofErr w:type="gramEnd"/>
            <w:r w:rsidR="003A0BD4">
              <w:t xml:space="preserve"> your market access needs.</w:t>
            </w:r>
          </w:p>
        </w:tc>
      </w:tr>
      <w:tr w:rsidR="008720E0" w14:paraId="6E47C5D9" w14:textId="77777777" w:rsidTr="007314B0">
        <w:tc>
          <w:tcPr>
            <w:tcW w:w="386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44475A6" w14:textId="098882E5" w:rsidR="008720E0" w:rsidRPr="00DE20B8" w:rsidRDefault="008720E0" w:rsidP="008720E0">
            <w:pPr>
              <w:pStyle w:val="NoSpacing"/>
            </w:pPr>
            <w:r w:rsidRPr="004F2872">
              <w:t xml:space="preserve">Automatic </w:t>
            </w:r>
            <w:r w:rsidR="00CE1AA6">
              <w:t>v</w:t>
            </w:r>
            <w:r w:rsidRPr="004F2872">
              <w:t>endor discounts </w:t>
            </w:r>
          </w:p>
        </w:tc>
        <w:tc>
          <w:tcPr>
            <w:tcW w:w="5485" w:type="dxa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1622C3C" w14:textId="79D0B254" w:rsidR="008720E0" w:rsidRPr="00DE20B8" w:rsidRDefault="001F2475" w:rsidP="008720E0">
            <w:r>
              <w:t xml:space="preserve">As a Big "I" Gold member you have access to a plethora of vendors </w:t>
            </w:r>
            <w:r w:rsidR="002D36C9" w:rsidRPr="002D36C9">
              <w:t xml:space="preserve">offering operation and technology </w:t>
            </w:r>
            <w:proofErr w:type="gramStart"/>
            <w:r w:rsidR="002D36C9" w:rsidRPr="002D36C9">
              <w:t>solutions;</w:t>
            </w:r>
            <w:proofErr w:type="gramEnd"/>
            <w:r w:rsidR="002D36C9" w:rsidRPr="002D36C9">
              <w:t xml:space="preserve"> education and marketing support and more.     </w:t>
            </w:r>
          </w:p>
        </w:tc>
      </w:tr>
    </w:tbl>
    <w:p w14:paraId="37430012" w14:textId="6F5F7948" w:rsidR="00CE1AA6" w:rsidRDefault="00CE1AA6" w:rsidP="0026419A"/>
    <w:sectPr w:rsidR="00CE1A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BC0A" w14:textId="77777777" w:rsidR="00A41065" w:rsidRDefault="00A41065" w:rsidP="0026419A">
      <w:pPr>
        <w:spacing w:after="0" w:line="240" w:lineRule="auto"/>
      </w:pPr>
      <w:r>
        <w:separator/>
      </w:r>
    </w:p>
  </w:endnote>
  <w:endnote w:type="continuationSeparator" w:id="0">
    <w:p w14:paraId="793573AF" w14:textId="77777777" w:rsidR="00A41065" w:rsidRDefault="00A41065" w:rsidP="0026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D41D" w14:textId="6E2A0D21" w:rsidR="0026419A" w:rsidRPr="0026419A" w:rsidRDefault="0026419A">
    <w:pPr>
      <w:pStyle w:val="Footer"/>
      <w:rPr>
        <w:sz w:val="20"/>
        <w:szCs w:val="18"/>
      </w:rPr>
    </w:pPr>
    <w:r w:rsidRPr="0026419A">
      <w:rPr>
        <w:sz w:val="20"/>
        <w:szCs w:val="18"/>
      </w:rPr>
      <w:t>Updated 7/22/24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80C4" w14:textId="77777777" w:rsidR="00A41065" w:rsidRDefault="00A41065" w:rsidP="0026419A">
      <w:pPr>
        <w:spacing w:after="0" w:line="240" w:lineRule="auto"/>
      </w:pPr>
      <w:r>
        <w:separator/>
      </w:r>
    </w:p>
  </w:footnote>
  <w:footnote w:type="continuationSeparator" w:id="0">
    <w:p w14:paraId="5B0B0CF1" w14:textId="77777777" w:rsidR="00A41065" w:rsidRDefault="00A41065" w:rsidP="0026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C468"/>
    <w:multiLevelType w:val="hybridMultilevel"/>
    <w:tmpl w:val="BDF4DB1A"/>
    <w:lvl w:ilvl="0" w:tplc="380A2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BA38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CA75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5220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4AB1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207E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2F0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B252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EEB0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43222"/>
    <w:multiLevelType w:val="hybridMultilevel"/>
    <w:tmpl w:val="0518D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0692593">
    <w:abstractNumId w:val="0"/>
  </w:num>
  <w:num w:numId="2" w16cid:durableId="118235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E0"/>
    <w:rsid w:val="00017DC0"/>
    <w:rsid w:val="000544DB"/>
    <w:rsid w:val="000614D2"/>
    <w:rsid w:val="00063DCE"/>
    <w:rsid w:val="000E1E18"/>
    <w:rsid w:val="000F463B"/>
    <w:rsid w:val="00124A94"/>
    <w:rsid w:val="0019778D"/>
    <w:rsid w:val="001D033C"/>
    <w:rsid w:val="001F2475"/>
    <w:rsid w:val="00214A7B"/>
    <w:rsid w:val="002178B9"/>
    <w:rsid w:val="0021793A"/>
    <w:rsid w:val="00253EA0"/>
    <w:rsid w:val="00253F0C"/>
    <w:rsid w:val="002614C1"/>
    <w:rsid w:val="0026419A"/>
    <w:rsid w:val="00280610"/>
    <w:rsid w:val="00284C5F"/>
    <w:rsid w:val="00295106"/>
    <w:rsid w:val="002D36C9"/>
    <w:rsid w:val="002E3713"/>
    <w:rsid w:val="002F481F"/>
    <w:rsid w:val="00300964"/>
    <w:rsid w:val="00300BA1"/>
    <w:rsid w:val="003438CC"/>
    <w:rsid w:val="003540D6"/>
    <w:rsid w:val="0036548B"/>
    <w:rsid w:val="003A0BD4"/>
    <w:rsid w:val="003A4B5F"/>
    <w:rsid w:val="003F4AA1"/>
    <w:rsid w:val="00402669"/>
    <w:rsid w:val="00412EE5"/>
    <w:rsid w:val="00422A4D"/>
    <w:rsid w:val="00471104"/>
    <w:rsid w:val="004971C9"/>
    <w:rsid w:val="004978D1"/>
    <w:rsid w:val="004A4948"/>
    <w:rsid w:val="004A504D"/>
    <w:rsid w:val="004B1CA4"/>
    <w:rsid w:val="005067E4"/>
    <w:rsid w:val="0054569C"/>
    <w:rsid w:val="00565D63"/>
    <w:rsid w:val="005A14B9"/>
    <w:rsid w:val="005A59AA"/>
    <w:rsid w:val="005F18E6"/>
    <w:rsid w:val="00652E77"/>
    <w:rsid w:val="006B5973"/>
    <w:rsid w:val="006B760C"/>
    <w:rsid w:val="006B7E2D"/>
    <w:rsid w:val="006D6A17"/>
    <w:rsid w:val="006E2513"/>
    <w:rsid w:val="006E7BB1"/>
    <w:rsid w:val="006F407C"/>
    <w:rsid w:val="007064E4"/>
    <w:rsid w:val="00714825"/>
    <w:rsid w:val="0071513E"/>
    <w:rsid w:val="007314B0"/>
    <w:rsid w:val="00770D6F"/>
    <w:rsid w:val="00784277"/>
    <w:rsid w:val="007856C4"/>
    <w:rsid w:val="007A500F"/>
    <w:rsid w:val="007E0AA6"/>
    <w:rsid w:val="007F4226"/>
    <w:rsid w:val="00806221"/>
    <w:rsid w:val="00837B0B"/>
    <w:rsid w:val="00842CF1"/>
    <w:rsid w:val="008720E0"/>
    <w:rsid w:val="008A79BC"/>
    <w:rsid w:val="008E2296"/>
    <w:rsid w:val="00960B76"/>
    <w:rsid w:val="0097112E"/>
    <w:rsid w:val="00975729"/>
    <w:rsid w:val="009821D6"/>
    <w:rsid w:val="009B1914"/>
    <w:rsid w:val="009D10A7"/>
    <w:rsid w:val="009F67D2"/>
    <w:rsid w:val="00A155E6"/>
    <w:rsid w:val="00A25F8A"/>
    <w:rsid w:val="00A375BF"/>
    <w:rsid w:val="00A41065"/>
    <w:rsid w:val="00A461A0"/>
    <w:rsid w:val="00A50FD4"/>
    <w:rsid w:val="00A86C57"/>
    <w:rsid w:val="00AB1540"/>
    <w:rsid w:val="00AB483C"/>
    <w:rsid w:val="00AC340E"/>
    <w:rsid w:val="00AD16D1"/>
    <w:rsid w:val="00B03E07"/>
    <w:rsid w:val="00B043C9"/>
    <w:rsid w:val="00B76500"/>
    <w:rsid w:val="00BB2C24"/>
    <w:rsid w:val="00BB3EB9"/>
    <w:rsid w:val="00BC2F0B"/>
    <w:rsid w:val="00BD583E"/>
    <w:rsid w:val="00BF6971"/>
    <w:rsid w:val="00C048DA"/>
    <w:rsid w:val="00C10CA9"/>
    <w:rsid w:val="00C116F8"/>
    <w:rsid w:val="00C20316"/>
    <w:rsid w:val="00C54A54"/>
    <w:rsid w:val="00C67EA0"/>
    <w:rsid w:val="00C913FC"/>
    <w:rsid w:val="00CA1475"/>
    <w:rsid w:val="00CE1AA6"/>
    <w:rsid w:val="00D1225A"/>
    <w:rsid w:val="00D17CBD"/>
    <w:rsid w:val="00D42798"/>
    <w:rsid w:val="00D90C19"/>
    <w:rsid w:val="00E12B05"/>
    <w:rsid w:val="00E22140"/>
    <w:rsid w:val="00E338BF"/>
    <w:rsid w:val="00E536CC"/>
    <w:rsid w:val="00E66673"/>
    <w:rsid w:val="00E66CC5"/>
    <w:rsid w:val="00E70ACE"/>
    <w:rsid w:val="00E75113"/>
    <w:rsid w:val="00EB0563"/>
    <w:rsid w:val="00ED1451"/>
    <w:rsid w:val="00ED50A3"/>
    <w:rsid w:val="00ED577B"/>
    <w:rsid w:val="00ED652E"/>
    <w:rsid w:val="00EE12BC"/>
    <w:rsid w:val="00EF2EFD"/>
    <w:rsid w:val="00F413A8"/>
    <w:rsid w:val="00F41446"/>
    <w:rsid w:val="00F54EFB"/>
    <w:rsid w:val="00F55CB2"/>
    <w:rsid w:val="00F56286"/>
    <w:rsid w:val="00F61173"/>
    <w:rsid w:val="00F74D67"/>
    <w:rsid w:val="00F862B8"/>
    <w:rsid w:val="00FE2FA6"/>
    <w:rsid w:val="00FE6FF6"/>
    <w:rsid w:val="061B215B"/>
    <w:rsid w:val="07E6524A"/>
    <w:rsid w:val="09A9A7DA"/>
    <w:rsid w:val="0CF29419"/>
    <w:rsid w:val="0D707664"/>
    <w:rsid w:val="0DA6121B"/>
    <w:rsid w:val="1F7B33DD"/>
    <w:rsid w:val="207B06D9"/>
    <w:rsid w:val="21698587"/>
    <w:rsid w:val="21F8D31D"/>
    <w:rsid w:val="2657FAD3"/>
    <w:rsid w:val="2A1DDC5B"/>
    <w:rsid w:val="2A7450B6"/>
    <w:rsid w:val="2D4AC286"/>
    <w:rsid w:val="2E25EAA5"/>
    <w:rsid w:val="2F54400B"/>
    <w:rsid w:val="2FA4CD11"/>
    <w:rsid w:val="300A6245"/>
    <w:rsid w:val="3390A824"/>
    <w:rsid w:val="3412B80E"/>
    <w:rsid w:val="3C62AFEC"/>
    <w:rsid w:val="3D555921"/>
    <w:rsid w:val="3E2AADBA"/>
    <w:rsid w:val="3E403E42"/>
    <w:rsid w:val="3F124A7C"/>
    <w:rsid w:val="445ED4E4"/>
    <w:rsid w:val="4616CAAC"/>
    <w:rsid w:val="46D98885"/>
    <w:rsid w:val="4CF4C4D9"/>
    <w:rsid w:val="4DBAFB78"/>
    <w:rsid w:val="52AAF987"/>
    <w:rsid w:val="553223CB"/>
    <w:rsid w:val="58A1B931"/>
    <w:rsid w:val="58E498DC"/>
    <w:rsid w:val="61AFECA1"/>
    <w:rsid w:val="665CED7E"/>
    <w:rsid w:val="667D813A"/>
    <w:rsid w:val="67CFB51E"/>
    <w:rsid w:val="69278CEA"/>
    <w:rsid w:val="6C8FE6B0"/>
    <w:rsid w:val="702A0C9B"/>
    <w:rsid w:val="71E70B20"/>
    <w:rsid w:val="7276D3ED"/>
    <w:rsid w:val="75B6EF1F"/>
    <w:rsid w:val="7A8BA0C6"/>
    <w:rsid w:val="7BD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9EE7"/>
  <w15:chartTrackingRefBased/>
  <w15:docId w15:val="{C6674FB6-6784-400C-BE5A-2148DD18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20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38B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19A"/>
  </w:style>
  <w:style w:type="paragraph" w:styleId="Footer">
    <w:name w:val="footer"/>
    <w:basedOn w:val="Normal"/>
    <w:link w:val="FooterChar"/>
    <w:uiPriority w:val="99"/>
    <w:unhideWhenUsed/>
    <w:rsid w:val="0026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6" ma:contentTypeDescription="Create a new document." ma:contentTypeScope="" ma:versionID="f0d02467c8b4193cb7829412d8027b50">
  <xsd:schema xmlns:xsd="http://www.w3.org/2001/XMLSchema" xmlns:xs="http://www.w3.org/2001/XMLSchema" xmlns:p="http://schemas.microsoft.com/office/2006/metadata/properties" xmlns:ns2="6d18bf0f-1626-461f-ac5b-12e216961019" xmlns:ns3="4a4b8f1a-a798-41f8-84a7-522742bdf26b" xmlns:ns4="http://schemas.microsoft.com/sharepoint/v4" targetNamespace="http://schemas.microsoft.com/office/2006/metadata/properties" ma:root="true" ma:fieldsID="72ecb7f1e3190610b09f3282fbffb58e" ns2:_="" ns3:_="" ns4:_="">
    <xsd:import namespace="6d18bf0f-1626-461f-ac5b-12e216961019"/>
    <xsd:import namespace="4a4b8f1a-a798-41f8-84a7-522742bdf2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6R635XWA3KZU-1145141094-967862</_dlc_DocId>
    <_dlc_DocIdUrl xmlns="6d18bf0f-1626-461f-ac5b-12e216961019">
      <Url>https://independentagent.sharepoint.com/sites/IIABAFileShare/_layouts/15/DocIdRedir.aspx?ID=6R635XWA3KZU-1145141094-967862</Url>
      <Description>6R635XWA3KZU-1145141094-967862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CC9DB1-BBC8-41D3-8AE0-7DB5A2FBF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bf0f-1626-461f-ac5b-12e216961019"/>
    <ds:schemaRef ds:uri="4a4b8f1a-a798-41f8-84a7-522742bdf26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2FD50-C83D-4F71-B6AD-CDDC0212EBF2}">
  <ds:schemaRefs>
    <ds:schemaRef ds:uri="http://schemas.microsoft.com/office/2006/metadata/properties"/>
    <ds:schemaRef ds:uri="http://schemas.microsoft.com/office/infopath/2007/PartnerControls"/>
    <ds:schemaRef ds:uri="4a4b8f1a-a798-41f8-84a7-522742bdf26b"/>
    <ds:schemaRef ds:uri="6d18bf0f-1626-461f-ac5b-12e21696101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B48D4E7-6A6B-4C12-B940-2807BFBD6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85587-6368-4511-9550-5A3E5E35DA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1344</Characters>
  <Application>Microsoft Office Word</Application>
  <DocSecurity>0</DocSecurity>
  <Lines>61</Lines>
  <Paragraphs>28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Pierson</dc:creator>
  <cp:keywords/>
  <dc:description/>
  <cp:lastModifiedBy>Elif Wisecup</cp:lastModifiedBy>
  <cp:revision>3</cp:revision>
  <cp:lastPrinted>2024-06-19T20:34:00Z</cp:lastPrinted>
  <dcterms:created xsi:type="dcterms:W3CDTF">2025-09-03T14:39:00Z</dcterms:created>
  <dcterms:modified xsi:type="dcterms:W3CDTF">2025-09-03T14:40:00Z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0x01010095AD283E441ACB4F9E1D17C91DB6C40D</vt:lpwstr>
  </property>
  <property fmtid="{D5CDD505-2E9C-101B-9397-08002B2CF9AE}" pid="3" name="_dlc_DocIdItemGuid">
    <vt:lpwstr>bb6f0852-4074-4248-ad6d-d35db6e76201</vt:lpwstr>
  </property>
  <property fmtid="{D5CDD505-2E9C-101B-9397-08002B2CF9AE}" pid="4" name="MediaServiceImageTags">
    <vt:lpwstr/>
  </property>
</Properties>
</file>